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F737D">
      <w:pPr>
        <w:jc w:val="center"/>
        <w:rPr>
          <w:rFonts w:hint="eastAsia" w:ascii="仿宋_GB2312" w:eastAsia="仿宋_GB2312"/>
          <w:b/>
          <w:sz w:val="32"/>
          <w:szCs w:val="32"/>
        </w:rPr>
      </w:pPr>
    </w:p>
    <w:p w14:paraId="2AF80DB9">
      <w:pPr>
        <w:jc w:val="center"/>
        <w:rPr>
          <w:rFonts w:ascii="黑体" w:eastAsia="黑体"/>
          <w:sz w:val="72"/>
          <w:szCs w:val="72"/>
        </w:rPr>
      </w:pPr>
    </w:p>
    <w:p w14:paraId="76E601EC">
      <w:pPr>
        <w:jc w:val="center"/>
        <w:rPr>
          <w:rFonts w:ascii="黑体" w:eastAsia="黑体"/>
          <w:sz w:val="72"/>
          <w:szCs w:val="72"/>
        </w:rPr>
      </w:pPr>
    </w:p>
    <w:p w14:paraId="5BC3160B">
      <w:pPr>
        <w:jc w:val="center"/>
        <w:rPr>
          <w:rFonts w:ascii="黑体" w:eastAsia="黑体"/>
          <w:sz w:val="72"/>
          <w:szCs w:val="72"/>
        </w:rPr>
      </w:pPr>
    </w:p>
    <w:p w14:paraId="099B72BD">
      <w:pPr>
        <w:jc w:val="center"/>
        <w:rPr>
          <w:rFonts w:ascii="黑体" w:eastAsia="黑体"/>
          <w:sz w:val="72"/>
          <w:szCs w:val="72"/>
        </w:rPr>
      </w:pPr>
    </w:p>
    <w:p w14:paraId="3C9C6ACD">
      <w:pPr>
        <w:jc w:val="center"/>
        <w:rPr>
          <w:rFonts w:hint="eastAsia" w:ascii="黑体" w:eastAsia="黑体"/>
          <w:sz w:val="72"/>
          <w:szCs w:val="72"/>
          <w:lang w:eastAsia="zh-CN"/>
        </w:rPr>
      </w:pPr>
      <w:r>
        <w:rPr>
          <w:rFonts w:hint="eastAsia" w:ascii="黑体" w:eastAsia="黑体"/>
          <w:sz w:val="72"/>
          <w:szCs w:val="72"/>
          <w:lang w:eastAsia="zh-CN"/>
        </w:rPr>
        <w:t>孔庙和国子监博物馆</w:t>
      </w:r>
    </w:p>
    <w:p w14:paraId="0DFEB513">
      <w:pPr>
        <w:jc w:val="center"/>
        <w:rPr>
          <w:rFonts w:ascii="黑体" w:eastAsia="黑体"/>
          <w:sz w:val="72"/>
          <w:szCs w:val="72"/>
        </w:rPr>
      </w:pPr>
      <w:r>
        <w:rPr>
          <w:rFonts w:hint="eastAsia" w:ascii="黑体" w:eastAsia="黑体"/>
          <w:sz w:val="72"/>
          <w:szCs w:val="72"/>
        </w:rPr>
        <w:t>2024年度部门决算（公开</w:t>
      </w:r>
      <w:r>
        <w:rPr>
          <w:rFonts w:ascii="黑体" w:eastAsia="黑体"/>
          <w:sz w:val="72"/>
          <w:szCs w:val="72"/>
        </w:rPr>
        <w:t>）</w:t>
      </w:r>
    </w:p>
    <w:p w14:paraId="01C46918">
      <w:pPr>
        <w:jc w:val="center"/>
        <w:rPr>
          <w:rFonts w:ascii="黑体" w:eastAsia="黑体"/>
          <w:sz w:val="52"/>
          <w:szCs w:val="52"/>
        </w:rPr>
      </w:pPr>
    </w:p>
    <w:p w14:paraId="2D29292C">
      <w:pPr>
        <w:jc w:val="center"/>
        <w:rPr>
          <w:rFonts w:ascii="黑体" w:eastAsia="黑体"/>
          <w:sz w:val="52"/>
          <w:szCs w:val="52"/>
        </w:rPr>
      </w:pPr>
    </w:p>
    <w:p w14:paraId="30281493">
      <w:pPr>
        <w:jc w:val="center"/>
        <w:rPr>
          <w:rFonts w:ascii="黑体" w:eastAsia="黑体"/>
          <w:sz w:val="52"/>
          <w:szCs w:val="52"/>
        </w:rPr>
      </w:pPr>
    </w:p>
    <w:p w14:paraId="760A5984">
      <w:pPr>
        <w:jc w:val="center"/>
        <w:rPr>
          <w:rFonts w:ascii="黑体" w:eastAsia="黑体"/>
          <w:sz w:val="52"/>
          <w:szCs w:val="52"/>
        </w:rPr>
      </w:pPr>
    </w:p>
    <w:p w14:paraId="5DB40F69">
      <w:pPr>
        <w:jc w:val="center"/>
        <w:rPr>
          <w:rFonts w:ascii="黑体" w:eastAsia="黑体"/>
          <w:sz w:val="32"/>
          <w:szCs w:val="32"/>
        </w:rPr>
      </w:pPr>
    </w:p>
    <w:p w14:paraId="47711276">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0CEC0BEB">
      <w:pPr>
        <w:spacing w:line="500" w:lineRule="exact"/>
        <w:ind w:firstLine="645"/>
        <w:jc w:val="center"/>
        <w:rPr>
          <w:rFonts w:ascii="宋体" w:hAnsi="宋体" w:cs="宋体"/>
          <w:b/>
          <w:bCs/>
          <w:kern w:val="0"/>
          <w:sz w:val="36"/>
          <w:szCs w:val="36"/>
        </w:rPr>
      </w:pPr>
    </w:p>
    <w:p w14:paraId="11E24CCB">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2024年度部门决算报表</w:t>
      </w:r>
    </w:p>
    <w:p w14:paraId="433A6AE2">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7894011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3F20700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52F7CCC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3B14B68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4336513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73F4964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703FCC3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0F199B2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7C0F08B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4AE4A92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3D82C5B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14:paraId="4C7A7AA5">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2024年度部门决算说明</w:t>
      </w:r>
    </w:p>
    <w:p w14:paraId="2E0FE412">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349E6FC3">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2024年度部门绩效评价情况</w:t>
      </w:r>
    </w:p>
    <w:p w14:paraId="719866BE">
      <w:pPr>
        <w:tabs>
          <w:tab w:val="center" w:pos="6979"/>
        </w:tabs>
        <w:spacing w:before="156" w:beforeLines="50" w:after="156" w:afterLines="50"/>
        <w:jc w:val="center"/>
        <w:rPr>
          <w:rFonts w:ascii="宋体" w:hAnsi="宋体" w:cs="宋体"/>
          <w:b/>
          <w:bCs/>
          <w:spacing w:val="40"/>
          <w:kern w:val="0"/>
          <w:sz w:val="32"/>
          <w:szCs w:val="32"/>
        </w:rPr>
      </w:pPr>
    </w:p>
    <w:p w14:paraId="75F856B6">
      <w:pPr>
        <w:tabs>
          <w:tab w:val="center" w:pos="6979"/>
        </w:tabs>
        <w:spacing w:before="156" w:beforeLines="50" w:after="156" w:afterLines="50"/>
        <w:jc w:val="center"/>
        <w:rPr>
          <w:rFonts w:ascii="宋体" w:hAnsi="宋体" w:cs="宋体"/>
          <w:b/>
          <w:bCs/>
          <w:spacing w:val="40"/>
          <w:kern w:val="0"/>
          <w:sz w:val="32"/>
          <w:szCs w:val="32"/>
        </w:rPr>
      </w:pPr>
    </w:p>
    <w:p w14:paraId="4E70690C">
      <w:pPr>
        <w:tabs>
          <w:tab w:val="center" w:pos="6979"/>
        </w:tabs>
        <w:spacing w:before="156" w:beforeLines="50" w:after="156" w:afterLines="50"/>
        <w:jc w:val="center"/>
        <w:rPr>
          <w:rFonts w:ascii="宋体" w:hAnsi="宋体" w:cs="宋体"/>
          <w:b/>
          <w:bCs/>
          <w:spacing w:val="40"/>
          <w:kern w:val="0"/>
          <w:sz w:val="32"/>
          <w:szCs w:val="32"/>
        </w:rPr>
      </w:pPr>
    </w:p>
    <w:p w14:paraId="699AF8F7">
      <w:pPr>
        <w:tabs>
          <w:tab w:val="center" w:pos="6979"/>
        </w:tabs>
        <w:spacing w:before="156" w:beforeLines="50" w:after="156" w:afterLines="50"/>
        <w:jc w:val="center"/>
        <w:rPr>
          <w:rFonts w:ascii="宋体" w:hAnsi="宋体" w:cs="宋体"/>
          <w:b/>
          <w:bCs/>
          <w:spacing w:val="40"/>
          <w:kern w:val="0"/>
          <w:sz w:val="32"/>
          <w:szCs w:val="32"/>
        </w:rPr>
      </w:pPr>
    </w:p>
    <w:p w14:paraId="611F3A73">
      <w:pPr>
        <w:tabs>
          <w:tab w:val="center" w:pos="6979"/>
        </w:tabs>
        <w:spacing w:before="156" w:beforeLines="50" w:after="156" w:afterLines="50"/>
        <w:jc w:val="center"/>
        <w:rPr>
          <w:rFonts w:ascii="宋体" w:hAnsi="宋体" w:cs="宋体"/>
          <w:b/>
          <w:bCs/>
          <w:spacing w:val="40"/>
          <w:kern w:val="0"/>
          <w:sz w:val="32"/>
          <w:szCs w:val="32"/>
        </w:rPr>
      </w:pPr>
    </w:p>
    <w:p w14:paraId="02A86573">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2024年度部门决算报表</w:t>
      </w:r>
    </w:p>
    <w:p w14:paraId="6FC488C7">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4E0F433E">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2024年度部门决算说明</w:t>
      </w:r>
    </w:p>
    <w:p w14:paraId="614F09F5">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7C112F77">
      <w:pPr>
        <w:spacing w:line="560" w:lineRule="exact"/>
        <w:ind w:firstLine="640" w:firstLineChars="200"/>
        <w:rPr>
          <w:rFonts w:ascii="仿宋" w:hAnsi="仿宋" w:eastAsia="仿宋" w:cs="Droid Sans"/>
          <w:color w:val="000000"/>
          <w:sz w:val="32"/>
          <w:szCs w:val="32"/>
        </w:rPr>
      </w:pPr>
      <w:r>
        <w:rPr>
          <w:rFonts w:hint="eastAsia" w:ascii="仿宋" w:hAnsi="仿宋" w:eastAsia="仿宋" w:cs="Droid Sans"/>
          <w:color w:val="000000"/>
          <w:sz w:val="32"/>
          <w:szCs w:val="32"/>
        </w:rPr>
        <w:t>孔庙和国子监博物馆为北京市文物局下属的全额拨款事业单位。预算编码为：048025。组织机构代码为：12110000777054876P。机构级别为处级单位。单位法人为：卢嘉兵。单位地址为：北京市东城区国子监街13-15号。</w:t>
      </w:r>
    </w:p>
    <w:p w14:paraId="50DF7466">
      <w:pPr>
        <w:spacing w:line="560" w:lineRule="exact"/>
        <w:ind w:firstLine="640" w:firstLineChars="200"/>
        <w:rPr>
          <w:rFonts w:ascii="仿宋" w:hAnsi="仿宋" w:eastAsia="仿宋" w:cs="Droid Sans"/>
          <w:color w:val="000000"/>
          <w:sz w:val="32"/>
          <w:szCs w:val="32"/>
        </w:rPr>
      </w:pPr>
      <w:r>
        <w:rPr>
          <w:rFonts w:hint="eastAsia" w:ascii="仿宋" w:hAnsi="仿宋" w:eastAsia="仿宋" w:cs="Droid Sans"/>
          <w:color w:val="000000"/>
          <w:sz w:val="32"/>
          <w:szCs w:val="32"/>
        </w:rPr>
        <w:t>孔庙和国子监博物馆负责孔庙和国子监的保护和利用工作，开展有关孔子和科举制度等方面的研究工作，收集、整理、保管、陈列相关文物和文献资料。</w:t>
      </w:r>
    </w:p>
    <w:p w14:paraId="50CC7585">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574C72FD">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8761.61</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1524.34万元，增长21.06%。</w:t>
      </w:r>
    </w:p>
    <w:p w14:paraId="403BAAC3">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05F60A58">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5775.45</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52.52万元，增长0.92%。</w:t>
      </w:r>
    </w:p>
    <w:p w14:paraId="2B737914">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w:t>
      </w:r>
      <w:r>
        <w:rPr>
          <w:rFonts w:ascii="仿宋_GB2312" w:eastAsia="仿宋_GB2312"/>
          <w:sz w:val="28"/>
          <w:szCs w:val="28"/>
        </w:rPr>
        <w:t>3396.21</w:t>
      </w:r>
      <w:r>
        <w:rPr>
          <w:rFonts w:hint="eastAsia" w:ascii="仿宋_GB2312" w:eastAsia="仿宋_GB2312"/>
          <w:sz w:val="28"/>
          <w:szCs w:val="28"/>
        </w:rPr>
        <w:t>万元，占收入合计的58.8%。其中：一般公共预算财政拨款收入</w:t>
      </w:r>
      <w:r>
        <w:rPr>
          <w:rFonts w:ascii="仿宋_GB2312" w:eastAsia="仿宋_GB2312"/>
          <w:sz w:val="28"/>
          <w:szCs w:val="28"/>
        </w:rPr>
        <w:t>3396.21</w:t>
      </w:r>
      <w:r>
        <w:rPr>
          <w:rFonts w:hint="eastAsia" w:ascii="仿宋_GB2312" w:eastAsia="仿宋_GB2312"/>
          <w:sz w:val="28"/>
          <w:szCs w:val="28"/>
        </w:rPr>
        <w:t>万元，占收入合计的58.8%；政府性基金预算财政拨款收入</w:t>
      </w:r>
      <w:r>
        <w:rPr>
          <w:rFonts w:ascii="仿宋_GB2312" w:eastAsia="仿宋_GB2312"/>
          <w:sz w:val="28"/>
          <w:szCs w:val="28"/>
        </w:rPr>
        <w:t>0</w:t>
      </w:r>
      <w:r>
        <w:rPr>
          <w:rFonts w:hint="eastAsia" w:ascii="仿宋_GB2312" w:eastAsia="仿宋_GB2312"/>
          <w:sz w:val="28"/>
          <w:szCs w:val="28"/>
        </w:rPr>
        <w:t>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14:paraId="1ED523E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14:paraId="658CF8DA">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2345.41</w:t>
      </w:r>
      <w:r>
        <w:rPr>
          <w:rFonts w:hint="eastAsia" w:ascii="仿宋_GB2312" w:eastAsia="仿宋_GB2312"/>
          <w:sz w:val="28"/>
          <w:szCs w:val="28"/>
        </w:rPr>
        <w:t>万元，占收入合计的40.61%；</w:t>
      </w:r>
    </w:p>
    <w:p w14:paraId="53821CA4">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14:paraId="50EE10B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14:paraId="476ED9ED">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33.83</w:t>
      </w:r>
      <w:r>
        <w:rPr>
          <w:rFonts w:hint="eastAsia" w:ascii="仿宋_GB2312" w:eastAsia="仿宋_GB2312"/>
          <w:sz w:val="28"/>
          <w:szCs w:val="28"/>
        </w:rPr>
        <w:t>万元，占收入合计的0.59%。</w:t>
      </w:r>
    </w:p>
    <w:p w14:paraId="299009BD">
      <w:pPr>
        <w:pStyle w:val="2"/>
        <w:jc w:val="center"/>
        <w:rPr>
          <w:rFonts w:hint="eastAsia"/>
        </w:rPr>
      </w:pPr>
      <w:r>
        <w:rPr>
          <w:rFonts w:hint="eastAsia" w:ascii="仿宋_GB2312" w:eastAsia="仿宋_GB2312"/>
          <w:color w:val="000000"/>
          <w:sz w:val="32"/>
        </w:rPr>
        <w:t>图1：收入预算</w:t>
      </w:r>
    </w:p>
    <w:p w14:paraId="672316F6">
      <w:pPr>
        <w:pStyle w:val="3"/>
        <w:ind w:firstLine="420"/>
        <w:jc w:val="center"/>
        <w:rPr>
          <w:rFonts w:hint="eastAsia"/>
        </w:rPr>
      </w:pPr>
    </w:p>
    <w:p w14:paraId="2B7A5D51">
      <w:pPr>
        <w:pStyle w:val="3"/>
        <w:ind w:firstLine="420"/>
        <w:jc w:val="center"/>
        <w:rPr>
          <w:rFonts w:hint="eastAsia"/>
        </w:rPr>
      </w:pPr>
    </w:p>
    <w:p w14:paraId="07230468">
      <w:pPr>
        <w:pStyle w:val="3"/>
        <w:ind w:firstLine="420"/>
        <w:jc w:val="center"/>
        <w:rPr>
          <w:rFonts w:hint="eastAsia"/>
        </w:rP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1BABA84">
      <w:pPr>
        <w:pStyle w:val="3"/>
        <w:ind w:firstLine="420"/>
        <w:jc w:val="center"/>
        <w:rPr>
          <w:rFonts w:hint="eastAsia"/>
        </w:rPr>
      </w:pPr>
    </w:p>
    <w:p w14:paraId="1F26F195">
      <w:pPr>
        <w:pStyle w:val="3"/>
        <w:ind w:firstLine="420"/>
        <w:jc w:val="center"/>
        <w:rPr>
          <w:rFonts w:hint="eastAsia"/>
        </w:rPr>
      </w:pPr>
    </w:p>
    <w:p w14:paraId="1CB02047">
      <w:pPr>
        <w:pStyle w:val="3"/>
        <w:ind w:firstLine="420"/>
        <w:jc w:val="center"/>
        <w:rPr>
          <w:rFonts w:hint="eastAsia"/>
        </w:rPr>
      </w:pPr>
    </w:p>
    <w:p w14:paraId="70CDDE6C">
      <w:pPr>
        <w:pStyle w:val="3"/>
        <w:ind w:firstLine="420"/>
        <w:jc w:val="center"/>
        <w:rPr>
          <w:rFonts w:hint="eastAsia"/>
        </w:rPr>
      </w:pPr>
    </w:p>
    <w:p w14:paraId="07303DAF">
      <w:pPr>
        <w:pStyle w:val="3"/>
        <w:ind w:firstLine="420"/>
        <w:jc w:val="center"/>
        <w:rPr>
          <w:rFonts w:hint="eastAsia"/>
        </w:rPr>
      </w:pPr>
    </w:p>
    <w:p w14:paraId="43826EBC">
      <w:pPr>
        <w:pStyle w:val="3"/>
        <w:ind w:firstLine="420"/>
        <w:jc w:val="center"/>
        <w:rPr>
          <w:rFonts w:hint="eastAsia"/>
        </w:rPr>
      </w:pPr>
    </w:p>
    <w:p w14:paraId="0EA20393">
      <w:pPr>
        <w:pStyle w:val="3"/>
        <w:ind w:firstLine="420"/>
        <w:jc w:val="center"/>
      </w:pPr>
    </w:p>
    <w:p w14:paraId="1F29E1DA">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65A94499">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4852.26</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686.29万元，增长16.47%，其中：基本支出</w:t>
      </w:r>
      <w:r>
        <w:rPr>
          <w:rFonts w:ascii="仿宋_GB2312" w:eastAsia="仿宋_GB2312"/>
          <w:sz w:val="28"/>
          <w:szCs w:val="28"/>
        </w:rPr>
        <w:t>3379.48</w:t>
      </w:r>
      <w:r>
        <w:rPr>
          <w:rFonts w:hint="eastAsia" w:ascii="仿宋_GB2312" w:eastAsia="仿宋_GB2312"/>
          <w:sz w:val="28"/>
          <w:szCs w:val="28"/>
        </w:rPr>
        <w:t>万元，占支出合计的69.65%；项目支出</w:t>
      </w:r>
      <w:r>
        <w:rPr>
          <w:rFonts w:ascii="仿宋_GB2312" w:eastAsia="仿宋_GB2312"/>
          <w:sz w:val="28"/>
          <w:szCs w:val="28"/>
        </w:rPr>
        <w:t>1472.78</w:t>
      </w:r>
      <w:r>
        <w:rPr>
          <w:rFonts w:hint="eastAsia" w:ascii="仿宋_GB2312" w:eastAsia="仿宋_GB2312"/>
          <w:sz w:val="28"/>
          <w:szCs w:val="28"/>
        </w:rPr>
        <w:t>万元，占支出合计的30.35%;上缴上级支出</w:t>
      </w:r>
      <w:r>
        <w:rPr>
          <w:rFonts w:ascii="仿宋_GB2312" w:eastAsia="仿宋_GB2312"/>
          <w:sz w:val="28"/>
          <w:szCs w:val="28"/>
        </w:rPr>
        <w:t>0</w:t>
      </w:r>
      <w:r>
        <w:rPr>
          <w:rFonts w:hint="eastAsia" w:ascii="仿宋_GB2312" w:eastAsia="仿宋_GB2312"/>
          <w:sz w:val="28"/>
          <w:szCs w:val="28"/>
        </w:rPr>
        <w:t>万元，占支出合计的0%；经营支出</w:t>
      </w:r>
      <w:r>
        <w:rPr>
          <w:rFonts w:ascii="仿宋_GB2312" w:eastAsia="仿宋_GB2312"/>
          <w:sz w:val="28"/>
          <w:szCs w:val="28"/>
        </w:rPr>
        <w:t>0</w:t>
      </w:r>
      <w:r>
        <w:rPr>
          <w:rFonts w:hint="eastAsia" w:ascii="仿宋_GB2312" w:eastAsia="仿宋_GB2312"/>
          <w:sz w:val="28"/>
          <w:szCs w:val="28"/>
        </w:rPr>
        <w:t>万元，占支出合计的0%；对附属单位补助支出</w:t>
      </w:r>
      <w:r>
        <w:rPr>
          <w:rFonts w:ascii="仿宋_GB2312" w:eastAsia="仿宋_GB2312"/>
          <w:sz w:val="28"/>
          <w:szCs w:val="28"/>
        </w:rPr>
        <w:t>0</w:t>
      </w:r>
      <w:r>
        <w:rPr>
          <w:rFonts w:hint="eastAsia" w:ascii="仿宋_GB2312" w:eastAsia="仿宋_GB2312"/>
          <w:sz w:val="28"/>
          <w:szCs w:val="28"/>
        </w:rPr>
        <w:t>万元，占支出合计的0%。</w:t>
      </w:r>
    </w:p>
    <w:p w14:paraId="728FBF78">
      <w:pPr>
        <w:pStyle w:val="2"/>
        <w:ind w:firstLine="642"/>
        <w:jc w:val="center"/>
        <w:rPr>
          <w:rFonts w:hint="eastAsia" w:ascii="仿宋_GB2312" w:eastAsia="仿宋_GB2312"/>
          <w:color w:val="000000"/>
          <w:sz w:val="32"/>
        </w:rPr>
      </w:pPr>
      <w:r>
        <w:rPr>
          <w:rFonts w:hint="eastAsia" w:ascii="仿宋_GB2312" w:eastAsia="仿宋_GB2312"/>
          <w:color w:val="000000"/>
          <w:sz w:val="32"/>
        </w:rPr>
        <w:t>图2：基本支出和项目支出情况</w:t>
      </w:r>
    </w:p>
    <w:p w14:paraId="2CDFF156">
      <w:pPr>
        <w:pStyle w:val="2"/>
        <w:ind w:left="4160" w:hanging="4143" w:hangingChars="1151"/>
        <w:rPr>
          <w:rFonts w:hint="eastAsia"/>
        </w:rPr>
      </w:pPr>
      <w:r>
        <w:rPr>
          <w:rFonts w:hint="eastAsia"/>
        </w:rPr>
        <w:t xml:space="preserve">                                            </w:t>
      </w: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C012129">
      <w:pPr>
        <w:rPr>
          <w:rFonts w:hint="eastAsia"/>
        </w:rPr>
      </w:pPr>
    </w:p>
    <w:p w14:paraId="0D968CEE">
      <w:pPr>
        <w:tabs>
          <w:tab w:val="center" w:pos="6979"/>
        </w:tabs>
        <w:spacing w:line="580" w:lineRule="exact"/>
        <w:ind w:left="140" w:leftChars="67" w:firstLine="408" w:firstLineChars="14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4AEC9CC5">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3396.21</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505.29万元，增长17.48%。主要原因：2024年为了保障博物馆消防安全，更换了老旧的消防设备和消防管道，增加项目支出671.86万元。</w:t>
      </w:r>
    </w:p>
    <w:p w14:paraId="00175364">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4A8E5E54">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399914E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3347.47</w:t>
      </w:r>
      <w:r>
        <w:rPr>
          <w:rFonts w:hint="eastAsia" w:ascii="仿宋_GB2312" w:eastAsia="仿宋_GB2312"/>
          <w:sz w:val="28"/>
          <w:szCs w:val="28"/>
        </w:rPr>
        <w:t>万元，主要用于以下方面（按大类）：教育支出0.03万元，占本年财政拨款支出0.00%； 文化旅游体育与传媒支出3295.06万元，占本年财政拨款支出的98.43%；社会保障和就业支出52.38万元，占本年财政拨款支出1.57%。</w:t>
      </w:r>
    </w:p>
    <w:p w14:paraId="7634D930">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1CCDAB77">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1、“一般公共服务支出”（类）2024年度年初预算3.6万元，2024年度决算0.03万元，完成年初预算的0.83%。</w:t>
      </w:r>
    </w:p>
    <w:p w14:paraId="39DADDF6">
      <w:pPr>
        <w:autoSpaceDE w:val="0"/>
        <w:autoSpaceDN w:val="0"/>
        <w:adjustRightInd w:val="0"/>
        <w:spacing w:line="580" w:lineRule="exact"/>
        <w:jc w:val="left"/>
        <w:rPr>
          <w:rFonts w:ascii="仿宋_GB2312" w:eastAsia="仿宋_GB2312"/>
          <w:sz w:val="28"/>
          <w:szCs w:val="28"/>
        </w:rPr>
      </w:pPr>
      <w:r>
        <w:rPr>
          <w:rFonts w:hint="eastAsia" w:ascii="仿宋_GB2312" w:eastAsia="仿宋_GB2312"/>
          <w:sz w:val="28"/>
          <w:szCs w:val="28"/>
        </w:rPr>
        <w:t>其中：</w:t>
      </w:r>
    </w:p>
    <w:p w14:paraId="1D97E0A9">
      <w:pPr>
        <w:spacing w:line="580" w:lineRule="exact"/>
        <w:ind w:firstLine="560" w:firstLineChars="200"/>
        <w:rPr>
          <w:rFonts w:ascii="仿宋_GB2312" w:eastAsia="仿宋_GB2312"/>
          <w:sz w:val="28"/>
          <w:szCs w:val="28"/>
        </w:rPr>
      </w:pPr>
      <w:r>
        <w:rPr>
          <w:rFonts w:hint="eastAsia" w:ascii="仿宋_GB2312" w:eastAsia="仿宋_GB2312"/>
          <w:sz w:val="28"/>
          <w:szCs w:val="28"/>
        </w:rPr>
        <w:t>“进修及培训”（款）2024年度年初预算3.6万元，2024年度决算0.3万元，完成年初预算的0.83%。主要原因：单位本着</w:t>
      </w:r>
      <w:r>
        <w:rPr>
          <w:rFonts w:hint="eastAsia" w:ascii="仿宋_GB2312" w:eastAsia="仿宋_GB2312"/>
          <w:sz w:val="28"/>
          <w:szCs w:val="28"/>
          <w:lang w:eastAsia="zh-CN"/>
        </w:rPr>
        <w:t>厉行节俭</w:t>
      </w:r>
      <w:r>
        <w:rPr>
          <w:rFonts w:hint="eastAsia" w:ascii="仿宋_GB2312" w:eastAsia="仿宋_GB2312"/>
          <w:sz w:val="28"/>
          <w:szCs w:val="28"/>
        </w:rPr>
        <w:t>原则，本年度严控培训活动支出。</w:t>
      </w:r>
    </w:p>
    <w:p w14:paraId="20576FFD">
      <w:pPr>
        <w:spacing w:line="580" w:lineRule="exact"/>
        <w:ind w:firstLine="560" w:firstLineChars="200"/>
        <w:rPr>
          <w:rFonts w:ascii="仿宋_GB2312" w:eastAsia="仿宋_GB2312"/>
          <w:sz w:val="28"/>
          <w:szCs w:val="28"/>
        </w:rPr>
      </w:pPr>
      <w:r>
        <w:rPr>
          <w:rFonts w:hint="eastAsia" w:ascii="仿宋_GB2312" w:eastAsia="仿宋_GB2312"/>
          <w:sz w:val="28"/>
          <w:szCs w:val="28"/>
        </w:rPr>
        <w:t>2、“文化旅游体育与传媒</w:t>
      </w:r>
      <w:bookmarkStart w:id="0" w:name="_GoBack"/>
      <w:bookmarkEnd w:id="0"/>
      <w:r>
        <w:rPr>
          <w:rFonts w:hint="eastAsia" w:ascii="仿宋_GB2312" w:eastAsia="仿宋_GB2312"/>
          <w:sz w:val="28"/>
          <w:szCs w:val="28"/>
        </w:rPr>
        <w:t>支出”(类)2024年度年初预算3340.19万元，2024年度决算3295.06万元，完成年初预算的98.65%。其中：</w:t>
      </w:r>
    </w:p>
    <w:p w14:paraId="026CA61F">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“文物”（款）2024年度年初预算3340.19万元，2024年度决算3295.06万元，完成年初预算的98.65%。主要原因：本着厉行节俭原则，2024年经费比预算节约45.13万元，年末退回财政。</w:t>
      </w:r>
    </w:p>
    <w:p w14:paraId="0A4A2DEA">
      <w:pPr>
        <w:pStyle w:val="2"/>
        <w:rPr>
          <w:rFonts w:ascii="仿宋_GB2312" w:hAnsi="Times New Roman" w:eastAsia="仿宋_GB2312"/>
          <w:b w:val="0"/>
          <w:bCs w:val="0"/>
          <w:kern w:val="2"/>
          <w:sz w:val="28"/>
          <w:szCs w:val="28"/>
        </w:rPr>
      </w:pPr>
      <w:r>
        <w:rPr>
          <w:rFonts w:hint="eastAsia"/>
        </w:rPr>
        <w:t xml:space="preserve">  </w:t>
      </w:r>
      <w:r>
        <w:rPr>
          <w:rFonts w:hint="eastAsia" w:ascii="仿宋_GB2312" w:hAnsi="Times New Roman" w:eastAsia="仿宋_GB2312"/>
          <w:b w:val="0"/>
          <w:bCs w:val="0"/>
          <w:kern w:val="2"/>
          <w:sz w:val="28"/>
          <w:szCs w:val="28"/>
        </w:rPr>
        <w:t>3、“社会保障和就业支出”（类）2024年度预算52.42万元，2024年决算52.38万元，完成年初预算的99.92%。主要原因：离退休公用支出结余0.04万元。</w:t>
      </w:r>
    </w:p>
    <w:p w14:paraId="1AB1B530">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704F270B">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14:paraId="4CF0447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2024年度政府性基金预算财政拨款支出</w:t>
      </w:r>
      <w:r>
        <w:rPr>
          <w:rFonts w:ascii="仿宋_GB2312" w:eastAsia="仿宋_GB2312"/>
          <w:sz w:val="28"/>
          <w:szCs w:val="28"/>
        </w:rPr>
        <w:t>0</w:t>
      </w:r>
      <w:r>
        <w:rPr>
          <w:rFonts w:hint="eastAsia" w:ascii="仿宋_GB2312" w:eastAsia="仿宋_GB2312"/>
          <w:sz w:val="28"/>
          <w:szCs w:val="28"/>
        </w:rPr>
        <w:t>万元。</w:t>
      </w:r>
      <w:r>
        <w:rPr>
          <w:rFonts w:ascii="仿宋_GB2312" w:eastAsia="仿宋_GB2312"/>
          <w:sz w:val="28"/>
          <w:szCs w:val="28"/>
        </w:rPr>
        <w:t xml:space="preserve"> </w:t>
      </w:r>
    </w:p>
    <w:p w14:paraId="12471A59">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648D7A4E">
      <w:pPr>
        <w:ind w:firstLine="537" w:firstLineChars="192"/>
        <w:rPr>
          <w:rFonts w:ascii="仿宋_GB2312" w:eastAsia="仿宋_GB2312"/>
          <w:sz w:val="28"/>
          <w:szCs w:val="28"/>
        </w:rPr>
      </w:pPr>
      <w:r>
        <w:rPr>
          <w:rFonts w:hint="eastAsia" w:ascii="仿宋_GB2312" w:eastAsia="仿宋_GB2312"/>
          <w:sz w:val="28"/>
          <w:szCs w:val="28"/>
        </w:rPr>
        <w:t>2024年度国有资本经营预算财政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7EE4D27D">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27585B95">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2024年度使用一般公共预算财政拨款安排基本支出</w:t>
      </w:r>
      <w:r>
        <w:rPr>
          <w:rFonts w:ascii="仿宋_GB2312" w:eastAsia="仿宋_GB2312"/>
          <w:sz w:val="28"/>
          <w:szCs w:val="28"/>
        </w:rPr>
        <w:t>2648.72</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718F7877">
      <w:pPr>
        <w:autoSpaceDE w:val="0"/>
        <w:autoSpaceDN w:val="0"/>
        <w:adjustRightInd w:val="0"/>
        <w:spacing w:line="580" w:lineRule="exact"/>
        <w:rPr>
          <w:rFonts w:ascii="宋体" w:hAnsi="宋体"/>
          <w:b/>
          <w:spacing w:val="40"/>
          <w:sz w:val="32"/>
          <w:szCs w:val="32"/>
        </w:rPr>
      </w:pPr>
      <w:r>
        <w:rPr>
          <w:rFonts w:ascii="仿宋_GB2312" w:eastAsia="仿宋_GB2312"/>
          <w:b/>
          <w:sz w:val="32"/>
          <w:szCs w:val="32"/>
        </w:rPr>
        <w:tab/>
      </w:r>
    </w:p>
    <w:p w14:paraId="0AD6DE38">
      <w:pPr>
        <w:tabs>
          <w:tab w:val="center" w:pos="6979"/>
        </w:tabs>
        <w:jc w:val="center"/>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34420BB7">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4AAD4F58">
      <w:pPr>
        <w:spacing w:line="560" w:lineRule="exact"/>
        <w:ind w:firstLine="600"/>
        <w:rPr>
          <w:rFonts w:ascii="仿宋_GB2312" w:eastAsia="仿宋_GB2312"/>
          <w:sz w:val="28"/>
          <w:szCs w:val="28"/>
        </w:rPr>
      </w:pPr>
      <w:r>
        <w:rPr>
          <w:rFonts w:hint="eastAsia" w:ascii="仿宋_GB2312" w:eastAsia="仿宋_GB2312"/>
          <w:sz w:val="28"/>
          <w:szCs w:val="28"/>
        </w:rPr>
        <w:t>2024年度“三公”经费财政拨款决算数</w:t>
      </w:r>
      <w:r>
        <w:rPr>
          <w:rFonts w:ascii="仿宋_GB2312" w:eastAsia="仿宋_GB2312"/>
          <w:sz w:val="28"/>
          <w:szCs w:val="28"/>
        </w:rPr>
        <w:t>0</w:t>
      </w:r>
      <w:r>
        <w:rPr>
          <w:rFonts w:hint="eastAsia" w:ascii="仿宋_GB2312" w:eastAsia="仿宋_GB2312"/>
          <w:sz w:val="28"/>
          <w:szCs w:val="28"/>
        </w:rPr>
        <w:t>万元，比2024年度“三公”经费财政拨款年初预算</w:t>
      </w:r>
      <w:r>
        <w:rPr>
          <w:rFonts w:ascii="仿宋_GB2312" w:eastAsia="仿宋_GB2312"/>
          <w:sz w:val="28"/>
          <w:szCs w:val="28"/>
        </w:rPr>
        <w:t>0.4</w:t>
      </w:r>
      <w:r>
        <w:rPr>
          <w:rFonts w:hint="eastAsia" w:ascii="仿宋_GB2312" w:eastAsia="仿宋_GB2312"/>
          <w:sz w:val="28"/>
          <w:szCs w:val="28"/>
        </w:rPr>
        <w:t>万元减少</w:t>
      </w:r>
      <w:r>
        <w:rPr>
          <w:rFonts w:ascii="仿宋_GB2312" w:eastAsia="仿宋_GB2312"/>
          <w:sz w:val="28"/>
          <w:szCs w:val="28"/>
        </w:rPr>
        <w:t>0.4</w:t>
      </w:r>
      <w:r>
        <w:rPr>
          <w:rFonts w:hint="eastAsia" w:ascii="仿宋_GB2312" w:eastAsia="仿宋_GB2312"/>
          <w:sz w:val="28"/>
          <w:szCs w:val="28"/>
        </w:rPr>
        <w:t>万元。其中：</w:t>
      </w:r>
    </w:p>
    <w:p w14:paraId="70368BE0">
      <w:pPr>
        <w:spacing w:line="560" w:lineRule="exact"/>
        <w:ind w:firstLine="600"/>
        <w:rPr>
          <w:rFonts w:ascii="仿宋_GB2312" w:eastAsia="仿宋_GB2312"/>
          <w:sz w:val="28"/>
          <w:szCs w:val="28"/>
        </w:rPr>
      </w:pPr>
      <w:r>
        <w:rPr>
          <w:rFonts w:hint="eastAsia" w:ascii="仿宋_GB2312" w:eastAsia="仿宋_GB2312"/>
          <w:sz w:val="28"/>
          <w:szCs w:val="28"/>
        </w:rPr>
        <w:t>1.因公出国（境）费用。2024年度决算数</w:t>
      </w:r>
      <w:r>
        <w:rPr>
          <w:rFonts w:ascii="仿宋_GB2312" w:eastAsia="仿宋_GB2312"/>
          <w:sz w:val="28"/>
          <w:szCs w:val="28"/>
        </w:rPr>
        <w:t>0</w:t>
      </w:r>
      <w:r>
        <w:rPr>
          <w:rFonts w:hint="eastAsia" w:ascii="仿宋_GB2312" w:eastAsia="仿宋_GB2312"/>
          <w:sz w:val="28"/>
          <w:szCs w:val="28"/>
        </w:rPr>
        <w:t>万元，比2024年度年初预算数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万元。主要原因：我单位无此项目支出。</w:t>
      </w:r>
    </w:p>
    <w:p w14:paraId="36771ECE">
      <w:pPr>
        <w:spacing w:line="560" w:lineRule="exact"/>
        <w:ind w:firstLine="600"/>
        <w:rPr>
          <w:rFonts w:ascii="仿宋_GB2312" w:eastAsia="仿宋_GB2312"/>
          <w:sz w:val="28"/>
          <w:szCs w:val="28"/>
        </w:rPr>
      </w:pPr>
      <w:r>
        <w:rPr>
          <w:rFonts w:hint="eastAsia" w:ascii="仿宋_GB2312" w:eastAsia="仿宋_GB2312"/>
          <w:sz w:val="28"/>
          <w:szCs w:val="28"/>
        </w:rPr>
        <w:t>2.公务接待费。2024年度决算数</w:t>
      </w:r>
      <w:r>
        <w:rPr>
          <w:rFonts w:ascii="仿宋_GB2312" w:eastAsia="仿宋_GB2312"/>
          <w:sz w:val="28"/>
          <w:szCs w:val="28"/>
        </w:rPr>
        <w:t>0</w:t>
      </w:r>
      <w:r>
        <w:rPr>
          <w:rFonts w:hint="eastAsia" w:ascii="仿宋_GB2312" w:eastAsia="仿宋_GB2312"/>
          <w:sz w:val="28"/>
          <w:szCs w:val="28"/>
        </w:rPr>
        <w:t>万元，比2024年度年初预算数</w:t>
      </w:r>
      <w:r>
        <w:rPr>
          <w:rFonts w:ascii="仿宋_GB2312" w:eastAsia="仿宋_GB2312"/>
          <w:sz w:val="28"/>
          <w:szCs w:val="28"/>
        </w:rPr>
        <w:t>0.4</w:t>
      </w:r>
      <w:r>
        <w:rPr>
          <w:rFonts w:hint="eastAsia" w:ascii="仿宋_GB2312" w:eastAsia="仿宋_GB2312"/>
          <w:sz w:val="28"/>
          <w:szCs w:val="28"/>
        </w:rPr>
        <w:t>万元减少</w:t>
      </w:r>
      <w:r>
        <w:rPr>
          <w:rFonts w:ascii="仿宋_GB2312" w:eastAsia="仿宋_GB2312"/>
          <w:sz w:val="28"/>
          <w:szCs w:val="28"/>
        </w:rPr>
        <w:t>0.4</w:t>
      </w:r>
      <w:r>
        <w:rPr>
          <w:rFonts w:hint="eastAsia" w:ascii="仿宋_GB2312" w:eastAsia="仿宋_GB2312"/>
          <w:sz w:val="28"/>
          <w:szCs w:val="28"/>
        </w:rPr>
        <w:t>万元。主要原因：本着厉行节俭原则，2024年度无公务接待费用。</w:t>
      </w:r>
    </w:p>
    <w:p w14:paraId="3AF45FDA">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3.公务用车购置及运行维护费。2024年度决算数</w:t>
      </w:r>
      <w:r>
        <w:rPr>
          <w:rFonts w:ascii="仿宋_GB2312" w:eastAsia="仿宋_GB2312"/>
          <w:sz w:val="28"/>
          <w:szCs w:val="28"/>
        </w:rPr>
        <w:t>0</w:t>
      </w:r>
      <w:r>
        <w:rPr>
          <w:rFonts w:hint="eastAsia" w:ascii="仿宋_GB2312" w:eastAsia="仿宋_GB2312"/>
          <w:sz w:val="28"/>
          <w:szCs w:val="28"/>
        </w:rPr>
        <w:t>万元，比2024年度年初预算数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万元。其中，公务用车购置费2024年度决算数0万元， 2024年度购置（更新）0辆。公务用车运行维护费2024年度决算数0万元。2024年度公务用车保有量</w:t>
      </w:r>
      <w:r>
        <w:rPr>
          <w:rFonts w:hint="eastAsia" w:ascii="仿宋_GB2312" w:eastAsia="仿宋_GB2312"/>
          <w:sz w:val="28"/>
          <w:szCs w:val="28"/>
          <w:lang w:val="en-US" w:eastAsia="zh-CN"/>
        </w:rPr>
        <w:t>0</w:t>
      </w:r>
      <w:r>
        <w:rPr>
          <w:rFonts w:hint="eastAsia" w:ascii="仿宋_GB2312" w:eastAsia="仿宋_GB2312"/>
          <w:sz w:val="28"/>
          <w:szCs w:val="28"/>
        </w:rPr>
        <w:t>辆。</w:t>
      </w:r>
    </w:p>
    <w:p w14:paraId="1A5F2F6F">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6B46D1F8">
      <w:pPr>
        <w:ind w:firstLine="537" w:firstLineChars="192"/>
        <w:rPr>
          <w:rFonts w:ascii="仿宋_GB2312" w:eastAsia="仿宋_GB2312"/>
          <w:sz w:val="28"/>
          <w:szCs w:val="28"/>
        </w:rPr>
      </w:pPr>
      <w:r>
        <w:rPr>
          <w:rFonts w:hint="eastAsia" w:ascii="仿宋_GB2312" w:eastAsia="仿宋_GB2312"/>
          <w:color w:val="404040"/>
          <w:sz w:val="28"/>
          <w:szCs w:val="28"/>
        </w:rPr>
        <w:t>我单位不在机关运行经费统计范围之内。</w:t>
      </w:r>
    </w:p>
    <w:p w14:paraId="3AB075B8">
      <w:pPr>
        <w:ind w:left="540"/>
        <w:rPr>
          <w:rFonts w:ascii="黑体" w:eastAsia="黑体"/>
          <w:sz w:val="28"/>
          <w:szCs w:val="28"/>
        </w:rPr>
      </w:pPr>
      <w:r>
        <w:rPr>
          <w:rFonts w:hint="eastAsia" w:ascii="黑体" w:eastAsia="黑体"/>
          <w:sz w:val="28"/>
          <w:szCs w:val="28"/>
        </w:rPr>
        <w:t>三、政府采购支出情况</w:t>
      </w:r>
    </w:p>
    <w:p w14:paraId="77C62B04">
      <w:pPr>
        <w:ind w:firstLine="537" w:firstLineChars="192"/>
        <w:rPr>
          <w:rFonts w:ascii="仿宋_GB2312" w:eastAsia="仿宋_GB2312"/>
          <w:sz w:val="28"/>
          <w:szCs w:val="28"/>
        </w:rPr>
      </w:pPr>
      <w:r>
        <w:rPr>
          <w:rFonts w:hint="eastAsia" w:ascii="仿宋_GB2312" w:eastAsia="仿宋_GB2312"/>
          <w:sz w:val="28"/>
          <w:szCs w:val="28"/>
        </w:rPr>
        <w:t>2024年度政府采购支出总额</w:t>
      </w:r>
      <w:r>
        <w:rPr>
          <w:rFonts w:ascii="仿宋_GB2312" w:eastAsia="仿宋_GB2312"/>
          <w:sz w:val="28"/>
          <w:szCs w:val="28"/>
        </w:rPr>
        <w:t>1487.01</w:t>
      </w:r>
      <w:r>
        <w:rPr>
          <w:rFonts w:hint="eastAsia" w:ascii="仿宋_GB2312" w:eastAsia="仿宋_GB2312"/>
          <w:sz w:val="28"/>
          <w:szCs w:val="28"/>
        </w:rPr>
        <w:t>万元，其中：政府采购货物支出</w:t>
      </w:r>
      <w:r>
        <w:rPr>
          <w:rFonts w:ascii="仿宋_GB2312" w:eastAsia="仿宋_GB2312"/>
          <w:sz w:val="28"/>
          <w:szCs w:val="28"/>
        </w:rPr>
        <w:t>1.22</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1485.8</w:t>
      </w:r>
      <w:r>
        <w:rPr>
          <w:rFonts w:hint="eastAsia" w:ascii="仿宋_GB2312" w:eastAsia="仿宋_GB2312"/>
          <w:sz w:val="28"/>
          <w:szCs w:val="28"/>
        </w:rPr>
        <w:t>万元。授予中小企业合同金额</w:t>
      </w:r>
      <w:r>
        <w:rPr>
          <w:rFonts w:ascii="仿宋_GB2312" w:eastAsia="仿宋_GB2312"/>
          <w:sz w:val="28"/>
          <w:szCs w:val="28"/>
        </w:rPr>
        <w:t>1271.49</w:t>
      </w:r>
      <w:r>
        <w:rPr>
          <w:rFonts w:hint="eastAsia" w:ascii="仿宋_GB2312" w:eastAsia="仿宋_GB2312"/>
          <w:sz w:val="28"/>
          <w:szCs w:val="28"/>
        </w:rPr>
        <w:t>万元，占政府采购支出总额的85.51%，其中：授予小微企业合同金额</w:t>
      </w:r>
      <w:r>
        <w:rPr>
          <w:rFonts w:ascii="仿宋_GB2312" w:eastAsia="仿宋_GB2312"/>
          <w:sz w:val="28"/>
          <w:szCs w:val="28"/>
        </w:rPr>
        <w:t>391.75</w:t>
      </w:r>
      <w:r>
        <w:rPr>
          <w:rFonts w:hint="eastAsia" w:ascii="仿宋_GB2312" w:eastAsia="仿宋_GB2312"/>
          <w:sz w:val="28"/>
          <w:szCs w:val="28"/>
        </w:rPr>
        <w:t>万元，占政府采购支出总额的</w:t>
      </w:r>
      <w:r>
        <w:rPr>
          <w:rFonts w:ascii="仿宋_GB2312" w:eastAsia="仿宋_GB2312"/>
          <w:sz w:val="28"/>
          <w:szCs w:val="28"/>
        </w:rPr>
        <w:t>26.34</w:t>
      </w:r>
      <w:r>
        <w:rPr>
          <w:rFonts w:hint="eastAsia" w:ascii="仿宋_GB2312" w:eastAsia="仿宋_GB2312"/>
          <w:sz w:val="28"/>
          <w:szCs w:val="28"/>
        </w:rPr>
        <w:t>%。本年度消防安全改造项目由中小企业保障。</w:t>
      </w:r>
    </w:p>
    <w:p w14:paraId="53556D93">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3FDEA98B">
      <w:pPr>
        <w:ind w:firstLine="560" w:firstLineChars="200"/>
        <w:rPr>
          <w:rFonts w:ascii="仿宋_GB2312" w:eastAsia="仿宋_GB2312"/>
          <w:sz w:val="32"/>
          <w:szCs w:val="32"/>
        </w:rPr>
      </w:pPr>
      <w:r>
        <w:rPr>
          <w:rFonts w:hint="eastAsia" w:ascii="仿宋_GB2312" w:eastAsia="仿宋_GB2312"/>
          <w:sz w:val="28"/>
          <w:szCs w:val="28"/>
        </w:rPr>
        <w:t>截至12月31日，孔庙和国子监博物馆共有车辆2台；单位价值100万元（含）以上的设备0台（套）。</w:t>
      </w:r>
    </w:p>
    <w:p w14:paraId="09200268">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3A86E4BC">
      <w:pPr>
        <w:ind w:firstLine="537" w:firstLineChars="192"/>
        <w:rPr>
          <w:rFonts w:ascii="仿宋_GB2312" w:eastAsia="仿宋_GB2312"/>
          <w:sz w:val="28"/>
          <w:szCs w:val="28"/>
        </w:rPr>
      </w:pPr>
      <w:r>
        <w:rPr>
          <w:rFonts w:hint="eastAsia" w:ascii="仿宋_GB2312" w:eastAsia="仿宋_GB2312"/>
          <w:sz w:val="28"/>
          <w:szCs w:val="28"/>
        </w:rPr>
        <w:t>2024年度</w:t>
      </w:r>
      <w:r>
        <w:rPr>
          <w:rFonts w:ascii="仿宋_GB2312" w:eastAsia="仿宋_GB2312"/>
          <w:sz w:val="28"/>
          <w:szCs w:val="28"/>
        </w:rPr>
        <w:t>政府购买服务决算0</w:t>
      </w:r>
      <w:r>
        <w:rPr>
          <w:rFonts w:hint="eastAsia" w:ascii="仿宋_GB2312" w:eastAsia="仿宋_GB2312"/>
          <w:sz w:val="28"/>
          <w:szCs w:val="28"/>
        </w:rPr>
        <w:t>万元。</w:t>
      </w:r>
    </w:p>
    <w:p w14:paraId="7EF445DD">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231A72F0">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2269D16F">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50534141">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73609D3A">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2C323A70">
      <w:pPr>
        <w:ind w:firstLine="560" w:firstLineChars="20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4E966309">
      <w:pPr>
        <w:pStyle w:val="2"/>
        <w:ind w:firstLine="560"/>
        <w:rPr>
          <w:rFonts w:hint="eastAsia" w:ascii="仿宋_GB2312" w:hAnsi="Times New Roman" w:eastAsia="仿宋_GB2312" w:cs="Times New Roman"/>
          <w:b w:val="0"/>
          <w:bCs w:val="0"/>
          <w:kern w:val="2"/>
          <w:sz w:val="28"/>
          <w:szCs w:val="28"/>
          <w:lang w:val="en-US" w:eastAsia="zh-CN" w:bidi="ar-SA"/>
        </w:rPr>
      </w:pPr>
      <w:r>
        <w:rPr>
          <w:rFonts w:hint="eastAsia" w:ascii="仿宋_GB2312" w:hAnsi="Times New Roman" w:eastAsia="仿宋_GB2312" w:cs="Times New Roman"/>
          <w:b w:val="0"/>
          <w:bCs w:val="0"/>
          <w:kern w:val="2"/>
          <w:sz w:val="28"/>
          <w:szCs w:val="28"/>
          <w:lang w:val="en-US" w:eastAsia="zh-CN" w:bidi="ar-SA"/>
        </w:rPr>
        <w:t>6.政府购买服务：是指各级国家机关将属于自身职责范围且适合通过市场方式提供的服务事项，按照政府采购方式和程序，交由符合条件的供应商承担，并根据服务数量和质量等因素向其支付费用的行为。</w:t>
      </w:r>
    </w:p>
    <w:p w14:paraId="52682F5C">
      <w:pPr>
        <w:keepNext/>
        <w:keepLines/>
        <w:spacing w:before="100" w:beforeAutospacing="1" w:after="100" w:afterAutospacing="1"/>
        <w:ind w:firstLine="560" w:firstLineChars="200"/>
        <w:outlineLvl w:val="1"/>
        <w:rPr>
          <w:rFonts w:ascii="仿宋_GB2312" w:hAnsi="Cambria" w:eastAsia="仿宋_GB2312"/>
          <w:bCs/>
          <w:kern w:val="0"/>
          <w:sz w:val="28"/>
          <w:szCs w:val="28"/>
        </w:rPr>
      </w:pPr>
      <w:r>
        <w:rPr>
          <w:rFonts w:hint="eastAsia" w:ascii="仿宋_GB2312" w:hAnsi="Cambria" w:eastAsia="仿宋_GB2312"/>
          <w:bCs/>
          <w:kern w:val="0"/>
          <w:sz w:val="28"/>
          <w:szCs w:val="28"/>
          <w:lang w:val="en-US" w:eastAsia="zh-CN"/>
        </w:rPr>
        <w:t>7</w:t>
      </w:r>
      <w:r>
        <w:rPr>
          <w:rFonts w:hint="eastAsia" w:ascii="仿宋_GB2312" w:hAnsi="Cambria" w:eastAsia="仿宋_GB2312"/>
          <w:bCs/>
          <w:kern w:val="0"/>
          <w:sz w:val="28"/>
          <w:szCs w:val="28"/>
        </w:rPr>
        <w:t>.</w:t>
      </w:r>
      <w:r>
        <w:rPr>
          <w:rFonts w:ascii="仿宋_GB2312" w:hAnsi="Cambria" w:eastAsia="仿宋_GB2312"/>
          <w:bCs/>
          <w:kern w:val="0"/>
          <w:sz w:val="28"/>
          <w:szCs w:val="28"/>
        </w:rPr>
        <w:t xml:space="preserve"> 教育支出（类）进修及培训（款）培训支出（项）：反映本单位安排的用于培训的支出。</w:t>
      </w:r>
    </w:p>
    <w:p w14:paraId="7DACEEE3">
      <w:pPr>
        <w:pStyle w:val="2"/>
        <w:rPr>
          <w:rFonts w:hint="eastAsia" w:ascii="仿宋_GB2312" w:hAnsi="Cambria" w:eastAsia="仿宋_GB2312" w:cs="Times New Roman"/>
          <w:b w:val="0"/>
          <w:bCs/>
          <w:kern w:val="0"/>
          <w:sz w:val="28"/>
          <w:szCs w:val="28"/>
          <w:lang w:val="en-US" w:eastAsia="zh-CN" w:bidi="ar-SA"/>
        </w:rPr>
      </w:pPr>
      <w:r>
        <w:rPr>
          <w:rFonts w:hint="eastAsia" w:ascii="仿宋_GB2312" w:hAnsi="Cambria" w:eastAsia="仿宋_GB2312" w:cs="Times New Roman"/>
          <w:b w:val="0"/>
          <w:bCs/>
          <w:kern w:val="0"/>
          <w:sz w:val="28"/>
          <w:szCs w:val="28"/>
          <w:lang w:val="en-US" w:eastAsia="zh-CN" w:bidi="ar-SA"/>
        </w:rPr>
        <w:t xml:space="preserve">    8.</w:t>
      </w:r>
      <w:r>
        <w:rPr>
          <w:rFonts w:ascii="仿宋_GB2312" w:hAnsi="Cambria" w:eastAsia="仿宋_GB2312" w:cs="Times New Roman"/>
          <w:b w:val="0"/>
          <w:bCs/>
          <w:kern w:val="0"/>
          <w:sz w:val="28"/>
          <w:szCs w:val="28"/>
          <w:lang w:val="en-US" w:eastAsia="zh-CN" w:bidi="ar-SA"/>
        </w:rPr>
        <w:t>文化旅游体育与传媒支出（类）</w:t>
      </w:r>
      <w:r>
        <w:rPr>
          <w:rFonts w:hint="eastAsia" w:ascii="仿宋_GB2312" w:hAnsi="Cambria" w:eastAsia="仿宋_GB2312" w:cs="Times New Roman"/>
          <w:b w:val="0"/>
          <w:bCs/>
          <w:kern w:val="0"/>
          <w:sz w:val="28"/>
          <w:szCs w:val="28"/>
          <w:lang w:val="en-US" w:eastAsia="zh-CN" w:bidi="ar-SA"/>
        </w:rPr>
        <w:t>文物</w:t>
      </w:r>
      <w:r>
        <w:rPr>
          <w:rFonts w:ascii="仿宋_GB2312" w:hAnsi="Cambria" w:eastAsia="仿宋_GB2312" w:cs="Times New Roman"/>
          <w:b w:val="0"/>
          <w:bCs/>
          <w:kern w:val="0"/>
          <w:sz w:val="28"/>
          <w:szCs w:val="28"/>
          <w:lang w:val="en-US" w:eastAsia="zh-CN" w:bidi="ar-SA"/>
        </w:rPr>
        <w:t>（款）</w:t>
      </w:r>
      <w:r>
        <w:rPr>
          <w:rFonts w:hint="eastAsia" w:ascii="仿宋_GB2312" w:hAnsi="Cambria" w:eastAsia="仿宋_GB2312" w:cs="Times New Roman"/>
          <w:b w:val="0"/>
          <w:bCs/>
          <w:kern w:val="0"/>
          <w:sz w:val="28"/>
          <w:szCs w:val="28"/>
          <w:lang w:val="en-US" w:eastAsia="zh-CN" w:bidi="ar-SA"/>
        </w:rPr>
        <w:t>行政运行：反映行政单位（包括实现公务员管理的事业单位）的基本支出。</w:t>
      </w:r>
    </w:p>
    <w:p w14:paraId="317CB33B">
      <w:pPr>
        <w:ind w:firstLine="560"/>
        <w:rPr>
          <w:rFonts w:hint="default"/>
          <w:lang w:val="en-US" w:eastAsia="zh-CN"/>
        </w:rPr>
      </w:pPr>
    </w:p>
    <w:p w14:paraId="265E9ED1">
      <w:pPr>
        <w:rPr>
          <w:rFonts w:ascii="仿宋_GB2312" w:eastAsia="仿宋_GB2312"/>
          <w:sz w:val="28"/>
          <w:szCs w:val="28"/>
        </w:rPr>
      </w:pPr>
      <w:r>
        <w:rPr>
          <w:rFonts w:hint="eastAsia" w:ascii="仿宋_GB2312" w:eastAsia="仿宋_GB2312"/>
          <w:sz w:val="28"/>
          <w:szCs w:val="28"/>
        </w:rPr>
        <w:t xml:space="preserve">    </w:t>
      </w:r>
      <w:r>
        <w:rPr>
          <w:rFonts w:hint="eastAsia" w:ascii="仿宋_GB2312" w:eastAsia="仿宋_GB2312"/>
          <w:sz w:val="28"/>
          <w:szCs w:val="28"/>
          <w:lang w:val="en-US" w:eastAsia="zh-CN"/>
        </w:rPr>
        <w:t>9</w:t>
      </w:r>
      <w:r>
        <w:rPr>
          <w:rFonts w:hint="eastAsia" w:ascii="仿宋_GB2312" w:eastAsia="仿宋_GB2312"/>
          <w:sz w:val="28"/>
          <w:szCs w:val="28"/>
        </w:rPr>
        <w:t>.</w:t>
      </w:r>
      <w:r>
        <w:rPr>
          <w:rFonts w:ascii="仿宋_GB2312" w:eastAsia="仿宋_GB2312"/>
          <w:sz w:val="28"/>
          <w:szCs w:val="28"/>
        </w:rPr>
        <w:t xml:space="preserve"> 文化旅游体育与传媒支出（类）文物（款）博物馆（项）：反映文物系统及其它部门所属博物馆、纪念馆方面的支出。</w:t>
      </w:r>
    </w:p>
    <w:p w14:paraId="3320839C">
      <w:pPr>
        <w:ind w:firstLine="560" w:firstLineChars="200"/>
        <w:rPr>
          <w:rFonts w:ascii="仿宋_GB2312" w:eastAsia="仿宋_GB2312"/>
          <w:sz w:val="28"/>
          <w:szCs w:val="28"/>
        </w:rPr>
      </w:pPr>
      <w:r>
        <w:rPr>
          <w:rFonts w:hint="eastAsia" w:ascii="仿宋_GB2312" w:eastAsia="仿宋_GB2312"/>
          <w:sz w:val="28"/>
          <w:szCs w:val="28"/>
          <w:lang w:val="en-US" w:eastAsia="zh-CN"/>
        </w:rPr>
        <w:t>10</w:t>
      </w:r>
      <w:r>
        <w:rPr>
          <w:rFonts w:hint="eastAsia" w:ascii="仿宋_GB2312" w:eastAsia="仿宋_GB2312"/>
          <w:sz w:val="28"/>
          <w:szCs w:val="28"/>
        </w:rPr>
        <w:t>.</w:t>
      </w:r>
      <w:r>
        <w:rPr>
          <w:rFonts w:ascii="仿宋_GB2312" w:eastAsia="仿宋_GB2312"/>
          <w:sz w:val="28"/>
          <w:szCs w:val="28"/>
        </w:rPr>
        <w:t xml:space="preserve"> 文化旅游体育与传媒支出（类）文物（款）历史名城与古迹（项）：反映历史名城、世界遗产规划与古迹保护等方面的支出。</w:t>
      </w:r>
    </w:p>
    <w:p w14:paraId="4DEA86BD">
      <w:pPr>
        <w:ind w:firstLine="560" w:firstLineChars="200"/>
        <w:rPr>
          <w:rFonts w:ascii="仿宋_GB2312" w:eastAsia="仿宋_GB2312"/>
          <w:sz w:val="28"/>
          <w:szCs w:val="28"/>
        </w:rPr>
      </w:pPr>
      <w:r>
        <w:rPr>
          <w:rFonts w:hint="eastAsia" w:ascii="仿宋_GB2312" w:eastAsia="仿宋_GB2312"/>
          <w:sz w:val="28"/>
          <w:szCs w:val="28"/>
          <w:lang w:val="en-US" w:eastAsia="zh-CN"/>
        </w:rPr>
        <w:t>11</w:t>
      </w:r>
      <w:r>
        <w:rPr>
          <w:rFonts w:hint="eastAsia" w:ascii="仿宋_GB2312" w:eastAsia="仿宋_GB2312"/>
          <w:sz w:val="28"/>
          <w:szCs w:val="28"/>
        </w:rPr>
        <w:t xml:space="preserve">. </w:t>
      </w:r>
      <w:r>
        <w:rPr>
          <w:rFonts w:ascii="仿宋_GB2312" w:eastAsia="仿宋_GB2312"/>
          <w:sz w:val="28"/>
          <w:szCs w:val="28"/>
        </w:rPr>
        <w:t>社会保障和就业支出（类）行政事业单位养老支出（款）事业单位离退休（项）：反映事业单位开支的离退休经费</w:t>
      </w:r>
      <w:r>
        <w:rPr>
          <w:rFonts w:hint="eastAsia" w:ascii="仿宋_GB2312" w:eastAsia="仿宋_GB2312"/>
          <w:sz w:val="28"/>
          <w:szCs w:val="28"/>
        </w:rPr>
        <w:t>。</w:t>
      </w:r>
    </w:p>
    <w:p w14:paraId="33F3551A">
      <w:pPr>
        <w:keepNext/>
        <w:keepLines/>
        <w:spacing w:before="100" w:beforeAutospacing="1" w:after="100" w:afterAutospacing="1"/>
        <w:outlineLvl w:val="1"/>
        <w:rPr>
          <w:rFonts w:ascii="仿宋" w:hAnsi="仿宋" w:eastAsia="仿宋"/>
          <w:bCs/>
          <w:kern w:val="0"/>
          <w:sz w:val="28"/>
          <w:szCs w:val="28"/>
        </w:rPr>
      </w:pPr>
      <w:r>
        <w:rPr>
          <w:rFonts w:hint="eastAsia" w:ascii="仿宋_GB2312" w:hAnsi="Cambria" w:eastAsia="仿宋_GB2312"/>
          <w:bCs/>
          <w:kern w:val="0"/>
          <w:sz w:val="28"/>
          <w:szCs w:val="28"/>
        </w:rPr>
        <w:t xml:space="preserve">    </w:t>
      </w:r>
      <w:r>
        <w:rPr>
          <w:rFonts w:hint="eastAsia" w:ascii="仿宋_GB2312" w:hAnsi="Cambria" w:eastAsia="仿宋_GB2312"/>
          <w:bCs/>
          <w:kern w:val="0"/>
          <w:sz w:val="28"/>
          <w:szCs w:val="28"/>
          <w:lang w:val="en-US" w:eastAsia="zh-CN"/>
        </w:rPr>
        <w:t>12</w:t>
      </w:r>
      <w:r>
        <w:rPr>
          <w:rFonts w:hint="eastAsia" w:ascii="仿宋_GB2312" w:hAnsi="Cambria" w:eastAsia="仿宋_GB2312"/>
          <w:bCs/>
          <w:kern w:val="0"/>
          <w:sz w:val="28"/>
          <w:szCs w:val="28"/>
        </w:rPr>
        <w:t>.</w:t>
      </w:r>
      <w:r>
        <w:rPr>
          <w:rFonts w:ascii="仿宋_GB2312" w:hAnsi="Cambria" w:eastAsia="仿宋_GB2312"/>
          <w:bCs/>
          <w:kern w:val="0"/>
          <w:sz w:val="28"/>
          <w:szCs w:val="28"/>
        </w:rPr>
        <w:t xml:space="preserve"> 社会保障和就业支出（类）行政事业单位养老支出（款）其它行政事业单位养老支出（项）：反映除上述项目以外用于行政事业单位养老方面的支出。</w:t>
      </w:r>
    </w:p>
    <w:p w14:paraId="0BF21C88">
      <w:pPr>
        <w:rPr>
          <w:rFonts w:ascii="黑体" w:eastAsia="黑体"/>
          <w:sz w:val="32"/>
          <w:szCs w:val="32"/>
        </w:rPr>
      </w:pPr>
    </w:p>
    <w:p w14:paraId="50E1F734">
      <w:pPr>
        <w:tabs>
          <w:tab w:val="center" w:pos="6979"/>
        </w:tabs>
        <w:spacing w:line="380" w:lineRule="exact"/>
        <w:jc w:val="center"/>
        <w:rPr>
          <w:rFonts w:ascii="宋体" w:hAnsi="宋体" w:cs="宋体"/>
          <w:b/>
          <w:bCs/>
          <w:kern w:val="0"/>
          <w:sz w:val="28"/>
          <w:szCs w:val="28"/>
        </w:rPr>
      </w:pPr>
    </w:p>
    <w:p w14:paraId="5F480B59">
      <w:pPr>
        <w:tabs>
          <w:tab w:val="center" w:pos="6979"/>
        </w:tabs>
        <w:spacing w:line="380" w:lineRule="exact"/>
        <w:jc w:val="center"/>
        <w:rPr>
          <w:rFonts w:ascii="宋体" w:hAnsi="宋体" w:cs="宋体"/>
          <w:b/>
          <w:bCs/>
          <w:kern w:val="0"/>
          <w:sz w:val="28"/>
          <w:szCs w:val="28"/>
        </w:rPr>
      </w:pPr>
    </w:p>
    <w:p w14:paraId="449579D8">
      <w:pPr>
        <w:rPr>
          <w:rFonts w:ascii="黑体" w:eastAsia="黑体"/>
          <w:sz w:val="32"/>
          <w:szCs w:val="32"/>
        </w:rPr>
      </w:pPr>
    </w:p>
    <w:p w14:paraId="467F9ED1">
      <w:pPr>
        <w:ind w:firstLine="640" w:firstLineChars="200"/>
        <w:jc w:val="center"/>
        <w:rPr>
          <w:rFonts w:ascii="黑体" w:eastAsia="黑体"/>
          <w:sz w:val="32"/>
          <w:szCs w:val="32"/>
        </w:rPr>
      </w:pPr>
    </w:p>
    <w:p w14:paraId="54F612DE">
      <w:pPr>
        <w:ind w:firstLine="640" w:firstLineChars="200"/>
        <w:jc w:val="center"/>
        <w:rPr>
          <w:rFonts w:ascii="黑体" w:eastAsia="黑体"/>
          <w:sz w:val="32"/>
          <w:szCs w:val="32"/>
        </w:rPr>
      </w:pPr>
      <w:r>
        <w:rPr>
          <w:rFonts w:hint="eastAsia" w:ascii="黑体" w:eastAsia="黑体"/>
          <w:sz w:val="32"/>
          <w:szCs w:val="32"/>
        </w:rPr>
        <w:t>第四部分  2024年度部门绩效评价情况</w:t>
      </w:r>
    </w:p>
    <w:p w14:paraId="5F85DF75">
      <w:pPr>
        <w:ind w:firstLine="560" w:firstLineChars="200"/>
        <w:rPr>
          <w:rFonts w:ascii="黑体" w:eastAsia="黑体"/>
          <w:sz w:val="28"/>
          <w:szCs w:val="28"/>
          <w:highlight w:val="yellow"/>
        </w:rPr>
      </w:pPr>
    </w:p>
    <w:p w14:paraId="5BEAC694">
      <w:pPr>
        <w:numPr>
          <w:ilvl w:val="0"/>
          <w:numId w:val="1"/>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p>
    <w:p w14:paraId="7DDBEF98">
      <w:pPr>
        <w:ind w:left="560"/>
        <w:rPr>
          <w:rFonts w:ascii="黑体" w:eastAsia="黑体"/>
          <w:sz w:val="28"/>
          <w:szCs w:val="28"/>
        </w:rPr>
      </w:pPr>
    </w:p>
    <w:p w14:paraId="36AB9916">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140CF">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14:paraId="1CD37737">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C5CD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4</w:t>
    </w:r>
    <w:r>
      <w:fldChar w:fldCharType="end"/>
    </w:r>
  </w:p>
  <w:p w14:paraId="41B9D598">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345D8">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63FC6821">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8632F"/>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4F68"/>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EF1"/>
    <w:rsid w:val="00882F8D"/>
    <w:rsid w:val="00884FB0"/>
    <w:rsid w:val="008853A5"/>
    <w:rsid w:val="008944DA"/>
    <w:rsid w:val="00894D78"/>
    <w:rsid w:val="008A1595"/>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164F9"/>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15CC"/>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292E"/>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4BEF"/>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DE44989"/>
    <w:rsid w:val="0F8E2C57"/>
    <w:rsid w:val="1059665E"/>
    <w:rsid w:val="10AC13BA"/>
    <w:rsid w:val="145A6C1B"/>
    <w:rsid w:val="14B73493"/>
    <w:rsid w:val="167A2FF9"/>
    <w:rsid w:val="18581C69"/>
    <w:rsid w:val="1AEC0734"/>
    <w:rsid w:val="1DEF20B0"/>
    <w:rsid w:val="1EB666F5"/>
    <w:rsid w:val="214243FA"/>
    <w:rsid w:val="21AD613C"/>
    <w:rsid w:val="22467189"/>
    <w:rsid w:val="257A14F5"/>
    <w:rsid w:val="27196C26"/>
    <w:rsid w:val="29EF086F"/>
    <w:rsid w:val="2EFFE297"/>
    <w:rsid w:val="301437CA"/>
    <w:rsid w:val="349D1F0A"/>
    <w:rsid w:val="34DD0473"/>
    <w:rsid w:val="3C684897"/>
    <w:rsid w:val="433E495C"/>
    <w:rsid w:val="489F2FD7"/>
    <w:rsid w:val="48BF2F7D"/>
    <w:rsid w:val="4AC27CB3"/>
    <w:rsid w:val="4BF72BEF"/>
    <w:rsid w:val="4FA90297"/>
    <w:rsid w:val="4FC41A43"/>
    <w:rsid w:val="515E171A"/>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357290B"/>
    <w:rsid w:val="77EB29ED"/>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oleObject" Target="/home/user/Desktop/&#26032;&#24314;Excel&#25991;&#2672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3396.21</c:v>
                </c:pt>
                <c:pt idx="1">
                  <c:v>0</c:v>
                </c:pt>
                <c:pt idx="2">
                  <c:v>2345.41</c:v>
                </c:pt>
                <c:pt idx="3">
                  <c:v>0</c:v>
                </c:pt>
                <c:pt idx="4">
                  <c:v>0</c:v>
                </c:pt>
                <c:pt idx="5">
                  <c:v>33.83</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9b07268-72a7-4538-8c99-ebc3db1753ae}"/>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3379.48</c:v>
                </c:pt>
                <c:pt idx="1">
                  <c:v>1472.78</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44f4040-a346-4401-b027-d7563d22216e}"/>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12</Pages>
  <Words>584</Words>
  <Characters>3329</Characters>
  <Lines>27</Lines>
  <Paragraphs>7</Paragraphs>
  <TotalTime>24</TotalTime>
  <ScaleCrop>false</ScaleCrop>
  <LinksUpToDate>false</LinksUpToDate>
  <CharactersWithSpaces>3906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zxf</cp:lastModifiedBy>
  <cp:lastPrinted>2020-08-07T11:39:00Z</cp:lastPrinted>
  <dcterms:modified xsi:type="dcterms:W3CDTF">2025-09-16T01:35:34Z</dcterms:modified>
  <dc:title>北京市财政局关于做好向市人大常委会报送2015年度市级部门决算（草案）</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